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70c0"/>
          <w:sz w:val="28"/>
          <w:szCs w:val="28"/>
        </w:rPr>
      </w:pPr>
      <w:r w:rsidDel="00000000" w:rsidR="00000000" w:rsidRPr="00000000">
        <w:rPr>
          <w:b w:val="1"/>
          <w:color w:val="0070c0"/>
          <w:sz w:val="28"/>
          <w:szCs w:val="28"/>
          <w:rtl w:val="0"/>
        </w:rPr>
        <w:t xml:space="preserve">Making a Referral Policy </w:t>
      </w:r>
    </w:p>
    <w:p w:rsidR="00000000" w:rsidDel="00000000" w:rsidP="00000000" w:rsidRDefault="00000000" w:rsidRPr="00000000" w14:paraId="00000002">
      <w:pPr>
        <w:spacing w:after="240" w:before="240" w:lineRule="auto"/>
        <w:rPr/>
      </w:pPr>
      <w:r w:rsidDel="00000000" w:rsidR="00000000" w:rsidRPr="00000000">
        <w:rPr>
          <w:b w:val="1"/>
          <w:rtl w:val="0"/>
        </w:rPr>
        <w:t xml:space="preserve">Effective Date:</w:t>
      </w:r>
      <w:r w:rsidDel="00000000" w:rsidR="00000000" w:rsidRPr="00000000">
        <w:rPr>
          <w:rtl w:val="0"/>
        </w:rPr>
        <w:t xml:space="preserve"> September 2025</w:t>
      </w:r>
    </w:p>
    <w:p w:rsidR="00000000" w:rsidDel="00000000" w:rsidP="00000000" w:rsidRDefault="00000000" w:rsidRPr="00000000" w14:paraId="00000003">
      <w:pPr>
        <w:shd w:fill="ffffff" w:val="clear"/>
        <w:spacing w:after="0" w:lineRule="auto"/>
        <w:jc w:val="center"/>
        <w:rPr>
          <w:rFonts w:ascii="Arial" w:cs="Arial" w:eastAsia="Arial" w:hAnsi="Arial"/>
          <w:color w:val="1d2228"/>
          <w:sz w:val="24"/>
          <w:szCs w:val="24"/>
        </w:rPr>
      </w:pPr>
      <w:r w:rsidDel="00000000" w:rsidR="00000000" w:rsidRPr="00000000">
        <w:rPr>
          <w:rtl w:val="0"/>
        </w:rPr>
      </w:r>
    </w:p>
    <w:p w:rsidR="00000000" w:rsidDel="00000000" w:rsidP="00000000" w:rsidRDefault="00000000" w:rsidRPr="00000000" w14:paraId="00000004">
      <w:pPr>
        <w:shd w:fill="ffffff" w:val="clear"/>
        <w:spacing w:after="0" w:lineRule="auto"/>
        <w:rPr>
          <w:rFonts w:ascii="Arial" w:cs="Arial" w:eastAsia="Arial" w:hAnsi="Arial"/>
          <w:b w:val="1"/>
          <w:color w:val="1d2228"/>
          <w:sz w:val="24"/>
          <w:szCs w:val="24"/>
        </w:rPr>
      </w:pPr>
      <w:r w:rsidDel="00000000" w:rsidR="00000000" w:rsidRPr="00000000">
        <w:rPr>
          <w:rFonts w:ascii="Arial" w:cs="Arial" w:eastAsia="Arial" w:hAnsi="Arial"/>
          <w:b w:val="1"/>
          <w:color w:val="1d2228"/>
          <w:sz w:val="24"/>
          <w:szCs w:val="24"/>
          <w:rtl w:val="0"/>
        </w:rPr>
        <w:t xml:space="preserve">1. Purpose</w:t>
      </w:r>
    </w:p>
    <w:p w:rsidR="00000000" w:rsidDel="00000000" w:rsidP="00000000" w:rsidRDefault="00000000" w:rsidRPr="00000000" w14:paraId="00000005">
      <w:pPr>
        <w:shd w:fill="ffffff" w:val="clear"/>
        <w:spacing w:after="0" w:lineRule="auto"/>
        <w:rPr>
          <w:rFonts w:ascii="Arial" w:cs="Arial" w:eastAsia="Arial" w:hAnsi="Arial"/>
          <w:color w:val="1d2228"/>
          <w:sz w:val="24"/>
          <w:szCs w:val="24"/>
        </w:rPr>
      </w:pPr>
      <w:r w:rsidDel="00000000" w:rsidR="00000000" w:rsidRPr="00000000">
        <w:rPr>
          <w:rtl w:val="0"/>
        </w:rPr>
      </w:r>
    </w:p>
    <w:p w:rsidR="00000000" w:rsidDel="00000000" w:rsidP="00000000" w:rsidRDefault="00000000" w:rsidRPr="00000000" w14:paraId="00000006">
      <w:pPr>
        <w:shd w:fill="ffffff" w:val="clear"/>
        <w:spacing w:after="0" w:lineRule="auto"/>
        <w:rPr>
          <w:rFonts w:ascii="Arial" w:cs="Arial" w:eastAsia="Arial" w:hAnsi="Arial"/>
          <w:color w:val="1d2228"/>
          <w:sz w:val="24"/>
          <w:szCs w:val="24"/>
        </w:rPr>
      </w:pPr>
      <w:r w:rsidDel="00000000" w:rsidR="00000000" w:rsidRPr="00000000">
        <w:rPr>
          <w:rFonts w:ascii="Arial" w:cs="Arial" w:eastAsia="Arial" w:hAnsi="Arial"/>
          <w:color w:val="1d2228"/>
          <w:sz w:val="24"/>
          <w:szCs w:val="24"/>
          <w:rtl w:val="0"/>
        </w:rPr>
        <w:t xml:space="preserve">The purpose of this policy is to outline when there is a duty to make a referral to Disclosure Scotland</w:t>
      </w:r>
    </w:p>
    <w:p w:rsidR="00000000" w:rsidDel="00000000" w:rsidP="00000000" w:rsidRDefault="00000000" w:rsidRPr="00000000" w14:paraId="00000007">
      <w:pPr>
        <w:shd w:fill="ffffff" w:val="clear"/>
        <w:spacing w:after="0" w:lineRule="auto"/>
        <w:jc w:val="left"/>
        <w:rPr>
          <w:rFonts w:ascii="Arial" w:cs="Arial" w:eastAsia="Arial" w:hAnsi="Arial"/>
          <w:color w:val="1d2228"/>
          <w:sz w:val="24"/>
          <w:szCs w:val="24"/>
        </w:rPr>
      </w:pPr>
      <w:r w:rsidDel="00000000" w:rsidR="00000000" w:rsidRPr="00000000">
        <w:rPr>
          <w:rtl w:val="0"/>
        </w:rPr>
      </w:r>
    </w:p>
    <w:p w:rsidR="00000000" w:rsidDel="00000000" w:rsidP="00000000" w:rsidRDefault="00000000" w:rsidRPr="00000000" w14:paraId="00000008">
      <w:pPr>
        <w:shd w:fill="ffffff" w:val="clear"/>
        <w:spacing w:after="0" w:lineRule="auto"/>
        <w:rPr>
          <w:rFonts w:ascii="Arial" w:cs="Arial" w:eastAsia="Arial" w:hAnsi="Arial"/>
          <w:b w:val="1"/>
          <w:color w:val="1d2228"/>
          <w:sz w:val="24"/>
          <w:szCs w:val="24"/>
        </w:rPr>
      </w:pPr>
      <w:r w:rsidDel="00000000" w:rsidR="00000000" w:rsidRPr="00000000">
        <w:rPr>
          <w:rFonts w:ascii="Arial" w:cs="Arial" w:eastAsia="Arial" w:hAnsi="Arial"/>
          <w:b w:val="1"/>
          <w:color w:val="1d2228"/>
          <w:sz w:val="24"/>
          <w:szCs w:val="24"/>
          <w:rtl w:val="0"/>
        </w:rPr>
        <w:t xml:space="preserve">2. Scope</w:t>
      </w:r>
    </w:p>
    <w:p w:rsidR="00000000" w:rsidDel="00000000" w:rsidP="00000000" w:rsidRDefault="00000000" w:rsidRPr="00000000" w14:paraId="00000009">
      <w:pPr>
        <w:shd w:fill="ffffff" w:val="clear"/>
        <w:spacing w:after="0" w:lineRule="auto"/>
        <w:rPr>
          <w:rFonts w:ascii="Arial" w:cs="Arial" w:eastAsia="Arial" w:hAnsi="Arial"/>
          <w:b w:val="1"/>
          <w:color w:val="1d2228"/>
          <w:sz w:val="24"/>
          <w:szCs w:val="24"/>
        </w:rPr>
      </w:pPr>
      <w:r w:rsidDel="00000000" w:rsidR="00000000" w:rsidRPr="00000000">
        <w:rPr>
          <w:rtl w:val="0"/>
        </w:rPr>
      </w:r>
    </w:p>
    <w:p w:rsidR="00000000" w:rsidDel="00000000" w:rsidP="00000000" w:rsidRDefault="00000000" w:rsidRPr="00000000" w14:paraId="0000000A">
      <w:pPr>
        <w:shd w:fill="ffffff" w:val="clear"/>
        <w:spacing w:after="0" w:lineRule="auto"/>
        <w:rPr>
          <w:rFonts w:ascii="Arial" w:cs="Arial" w:eastAsia="Arial" w:hAnsi="Arial"/>
          <w:color w:val="1d2228"/>
          <w:sz w:val="24"/>
          <w:szCs w:val="24"/>
        </w:rPr>
      </w:pPr>
      <w:r w:rsidDel="00000000" w:rsidR="00000000" w:rsidRPr="00000000">
        <w:rPr>
          <w:rFonts w:ascii="Arial" w:cs="Arial" w:eastAsia="Arial" w:hAnsi="Arial"/>
          <w:color w:val="1d2228"/>
          <w:sz w:val="24"/>
          <w:szCs w:val="24"/>
          <w:rtl w:val="0"/>
        </w:rPr>
        <w:t xml:space="preserve">This policy applies to all club officials, committee members, coaches, and run leaders who </w:t>
      </w:r>
      <w:r w:rsidDel="00000000" w:rsidR="00000000" w:rsidRPr="00000000">
        <w:rPr>
          <w:rFonts w:ascii="Arial" w:cs="Arial" w:eastAsia="Arial" w:hAnsi="Arial"/>
          <w:b w:val="1"/>
          <w:color w:val="1d2228"/>
          <w:sz w:val="24"/>
          <w:szCs w:val="24"/>
          <w:rtl w:val="0"/>
        </w:rPr>
        <w:t xml:space="preserve">access, handle, or store disclosure information</w:t>
      </w:r>
      <w:r w:rsidDel="00000000" w:rsidR="00000000" w:rsidRPr="00000000">
        <w:rPr>
          <w:rFonts w:ascii="Arial" w:cs="Arial" w:eastAsia="Arial" w:hAnsi="Arial"/>
          <w:color w:val="1d2228"/>
          <w:sz w:val="24"/>
          <w:szCs w:val="24"/>
          <w:rtl w:val="0"/>
        </w:rPr>
        <w:t xml:space="preserve"> on behalf of the club.</w:t>
      </w:r>
    </w:p>
    <w:p w:rsidR="00000000" w:rsidDel="00000000" w:rsidP="00000000" w:rsidRDefault="00000000" w:rsidRPr="00000000" w14:paraId="0000000B">
      <w:pPr>
        <w:shd w:fill="ffffff" w:val="clear"/>
        <w:spacing w:after="0" w:lineRule="auto"/>
        <w:rPr>
          <w:rFonts w:ascii="Arial" w:cs="Arial" w:eastAsia="Arial" w:hAnsi="Arial"/>
          <w:color w:val="1d2228"/>
          <w:sz w:val="24"/>
          <w:szCs w:val="24"/>
        </w:rPr>
      </w:pPr>
      <w:r w:rsidDel="00000000" w:rsidR="00000000" w:rsidRPr="00000000">
        <w:rPr>
          <w:rtl w:val="0"/>
        </w:rPr>
      </w:r>
    </w:p>
    <w:p w:rsidR="00000000" w:rsidDel="00000000" w:rsidP="00000000" w:rsidRDefault="00000000" w:rsidRPr="00000000" w14:paraId="0000000C">
      <w:pPr>
        <w:spacing w:after="240" w:before="240" w:lineRule="auto"/>
        <w:rPr>
          <w:b w:val="1"/>
          <w:sz w:val="24"/>
          <w:szCs w:val="24"/>
        </w:rPr>
      </w:pPr>
      <w:r w:rsidDel="00000000" w:rsidR="00000000" w:rsidRPr="00000000">
        <w:rPr>
          <w:b w:val="1"/>
          <w:sz w:val="24"/>
          <w:szCs w:val="24"/>
          <w:rtl w:val="0"/>
        </w:rPr>
        <w:t xml:space="preserve">3. Types of Conduct</w:t>
      </w:r>
    </w:p>
    <w:p w:rsidR="00000000" w:rsidDel="00000000" w:rsidP="00000000" w:rsidRDefault="00000000" w:rsidRPr="00000000" w14:paraId="0000000D">
      <w:pPr>
        <w:spacing w:after="240" w:line="276"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duty to refer exists when an individual in a regulated role is responsible for one of the following:</w:t>
      </w:r>
    </w:p>
    <w:p w:rsidR="00000000" w:rsidDel="00000000" w:rsidP="00000000" w:rsidRDefault="00000000" w:rsidRPr="00000000" w14:paraId="0000000E">
      <w:pPr>
        <w:numPr>
          <w:ilvl w:val="0"/>
          <w:numId w:val="5"/>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harming a child or protected adult</w:t>
      </w:r>
    </w:p>
    <w:p w:rsidR="00000000" w:rsidDel="00000000" w:rsidP="00000000" w:rsidRDefault="00000000" w:rsidRPr="00000000" w14:paraId="0000000F">
      <w:pPr>
        <w:numPr>
          <w:ilvl w:val="0"/>
          <w:numId w:val="5"/>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placing a child or protected adult at risk of harm</w:t>
      </w:r>
    </w:p>
    <w:p w:rsidR="00000000" w:rsidDel="00000000" w:rsidP="00000000" w:rsidRDefault="00000000" w:rsidRPr="00000000" w14:paraId="00000010">
      <w:pPr>
        <w:numPr>
          <w:ilvl w:val="0"/>
          <w:numId w:val="5"/>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inappropriate behaviour involving pornography</w:t>
      </w:r>
    </w:p>
    <w:p w:rsidR="00000000" w:rsidDel="00000000" w:rsidP="00000000" w:rsidRDefault="00000000" w:rsidRPr="00000000" w14:paraId="00000011">
      <w:pPr>
        <w:numPr>
          <w:ilvl w:val="0"/>
          <w:numId w:val="5"/>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inappropriate behaviour of a sexual nature involving a child or protected adult</w:t>
      </w:r>
    </w:p>
    <w:p w:rsidR="00000000" w:rsidDel="00000000" w:rsidP="00000000" w:rsidRDefault="00000000" w:rsidRPr="00000000" w14:paraId="00000012">
      <w:pPr>
        <w:numPr>
          <w:ilvl w:val="0"/>
          <w:numId w:val="5"/>
        </w:numPr>
        <w:spacing w:after="120" w:line="276" w:lineRule="auto"/>
        <w:ind w:left="714"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giving inappropriate medical treatment to a child or protected adult</w:t>
      </w:r>
    </w:p>
    <w:p w:rsidR="00000000" w:rsidDel="00000000" w:rsidP="00000000" w:rsidRDefault="00000000" w:rsidRPr="00000000" w14:paraId="00000013">
      <w:pPr>
        <w:spacing w:after="12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4">
      <w:pPr>
        <w:spacing w:after="12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 Harm</w:t>
      </w:r>
    </w:p>
    <w:p w:rsidR="00000000" w:rsidDel="00000000" w:rsidP="00000000" w:rsidRDefault="00000000" w:rsidRPr="00000000" w14:paraId="00000015">
      <w:pPr>
        <w:spacing w:after="240" w:line="276"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‘Harm’ can include:    </w:t>
      </w:r>
    </w:p>
    <w:p w:rsidR="00000000" w:rsidDel="00000000" w:rsidP="00000000" w:rsidRDefault="00000000" w:rsidRPr="00000000" w14:paraId="00000016">
      <w:pPr>
        <w:numPr>
          <w:ilvl w:val="0"/>
          <w:numId w:val="1"/>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physical harm (including assault or inappropriate restraints)</w:t>
      </w:r>
    </w:p>
    <w:p w:rsidR="00000000" w:rsidDel="00000000" w:rsidP="00000000" w:rsidRDefault="00000000" w:rsidRPr="00000000" w14:paraId="00000017">
      <w:pPr>
        <w:numPr>
          <w:ilvl w:val="0"/>
          <w:numId w:val="1"/>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psychological/emotional harm (for example, placing a child/protected adults in a state of fear, alarm or distress)</w:t>
      </w:r>
    </w:p>
    <w:p w:rsidR="00000000" w:rsidDel="00000000" w:rsidP="00000000" w:rsidRDefault="00000000" w:rsidRPr="00000000" w14:paraId="00000018">
      <w:pPr>
        <w:numPr>
          <w:ilvl w:val="0"/>
          <w:numId w:val="1"/>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damage to property, rights or interests, such as theft, fraud, embezzlement or extortion</w:t>
      </w:r>
    </w:p>
    <w:p w:rsidR="00000000" w:rsidDel="00000000" w:rsidP="00000000" w:rsidRDefault="00000000" w:rsidRPr="00000000" w14:paraId="00000019">
      <w:pPr>
        <w:numPr>
          <w:ilvl w:val="0"/>
          <w:numId w:val="1"/>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attempts to harm</w:t>
      </w:r>
    </w:p>
    <w:p w:rsidR="00000000" w:rsidDel="00000000" w:rsidP="00000000" w:rsidRDefault="00000000" w:rsidRPr="00000000" w14:paraId="0000001A">
      <w:pPr>
        <w:numPr>
          <w:ilvl w:val="0"/>
          <w:numId w:val="1"/>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trying to make others cause harm</w:t>
      </w:r>
    </w:p>
    <w:p w:rsidR="00000000" w:rsidDel="00000000" w:rsidP="00000000" w:rsidRDefault="00000000" w:rsidRPr="00000000" w14:paraId="0000001B">
      <w:pPr>
        <w:numPr>
          <w:ilvl w:val="0"/>
          <w:numId w:val="1"/>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encouraging someone to self-harm</w:t>
      </w:r>
    </w:p>
    <w:p w:rsidR="00000000" w:rsidDel="00000000" w:rsidP="00000000" w:rsidRDefault="00000000" w:rsidRPr="00000000" w14:paraId="0000001C">
      <w:pPr>
        <w:spacing w:after="0"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12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These lists are not exhaustive.  </w:t>
      </w:r>
    </w:p>
    <w:p w:rsidR="00000000" w:rsidDel="00000000" w:rsidP="00000000" w:rsidRDefault="00000000" w:rsidRPr="00000000" w14:paraId="0000001E">
      <w:pPr>
        <w:spacing w:after="12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0" w:line="276" w:lineRule="auto"/>
        <w:ind w:left="64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Placing at ‘risk of harm’ is a wide ranging category but may include behaviour or incompetence that may cause someone to be harmed (even if unintentional and/or where harm does not actually occur).</w:t>
      </w:r>
    </w:p>
    <w:p w:rsidR="00000000" w:rsidDel="00000000" w:rsidP="00000000" w:rsidRDefault="00000000" w:rsidRPr="00000000" w14:paraId="00000020">
      <w:pPr>
        <w:spacing w:after="0" w:line="276" w:lineRule="auto"/>
        <w:ind w:left="42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pacing w:after="120" w:line="276" w:lineRule="auto"/>
        <w:ind w:left="64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conduct does not need to have happened in the workplace. But it must be something the organisation becomes aware of, that then leads to one of the actions below.</w:t>
      </w:r>
    </w:p>
    <w:p w:rsidR="00000000" w:rsidDel="00000000" w:rsidP="00000000" w:rsidRDefault="00000000" w:rsidRPr="00000000" w14:paraId="00000022">
      <w:pPr>
        <w:spacing w:after="120" w:line="276" w:lineRule="auto"/>
        <w:ind w:left="64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spacing w:after="120" w:line="276" w:lineRule="auto"/>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 When to refer to Disclosure Scotland</w:t>
      </w:r>
    </w:p>
    <w:p w:rsidR="00000000" w:rsidDel="00000000" w:rsidP="00000000" w:rsidRDefault="00000000" w:rsidRPr="00000000" w14:paraId="00000024">
      <w:pPr>
        <w:spacing w:after="120" w:line="276" w:lineRule="auto"/>
        <w:ind w:left="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5">
      <w:pPr>
        <w:spacing w:after="240" w:line="276" w:lineRule="auto"/>
        <w:ind w:left="0" w:firstLine="0"/>
        <w:rPr>
          <w:rFonts w:ascii="Arial" w:cs="Arial" w:eastAsia="Arial" w:hAnsi="Arial"/>
        </w:rPr>
      </w:pPr>
      <w:r w:rsidDel="00000000" w:rsidR="00000000" w:rsidRPr="00000000">
        <w:rPr>
          <w:rFonts w:ascii="Arial" w:cs="Arial" w:eastAsia="Arial" w:hAnsi="Arial"/>
          <w:sz w:val="24"/>
          <w:szCs w:val="24"/>
          <w:rtl w:val="0"/>
        </w:rPr>
        <w:t xml:space="preserve">A referral to Disclosure Scotland about a person’s conduct only needs to be made if the behaviour meant that the employee or volunteer involved</w:t>
      </w:r>
      <w:r w:rsidDel="00000000" w:rsidR="00000000" w:rsidRPr="00000000">
        <w:rPr>
          <w:rFonts w:ascii="Arial" w:cs="Arial" w:eastAsia="Arial" w:hAnsi="Arial"/>
          <w:rtl w:val="0"/>
        </w:rPr>
        <w:t xml:space="preserve">:</w:t>
      </w:r>
    </w:p>
    <w:p w:rsidR="00000000" w:rsidDel="00000000" w:rsidP="00000000" w:rsidRDefault="00000000" w:rsidRPr="00000000" w14:paraId="00000026">
      <w:pPr>
        <w:numPr>
          <w:ilvl w:val="0"/>
          <w:numId w:val="2"/>
        </w:numPr>
        <w:spacing w:after="0" w:line="276"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was dismissed as a result</w:t>
      </w:r>
    </w:p>
    <w:p w:rsidR="00000000" w:rsidDel="00000000" w:rsidP="00000000" w:rsidRDefault="00000000" w:rsidRPr="00000000" w14:paraId="00000027">
      <w:pPr>
        <w:numPr>
          <w:ilvl w:val="0"/>
          <w:numId w:val="2"/>
        </w:numPr>
        <w:spacing w:after="0" w:line="276"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would have been dismissed but left before they could be. For example, they resigned from the organisation immediately after the incident(s) or before a disciplinary process is complete, or when an individual’s probation or fixed term contract is not extended because of their conduct</w:t>
      </w:r>
    </w:p>
    <w:p w:rsidR="00000000" w:rsidDel="00000000" w:rsidP="00000000" w:rsidRDefault="00000000" w:rsidRPr="00000000" w14:paraId="00000028">
      <w:pPr>
        <w:numPr>
          <w:ilvl w:val="0"/>
          <w:numId w:val="2"/>
        </w:numPr>
        <w:spacing w:after="0" w:line="276"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was transferred permanently away from work with children or protected adults. For example, being moved to another role in the organisation that does not involve a regulated role with those groups</w:t>
      </w:r>
    </w:p>
    <w:p w:rsidR="00000000" w:rsidDel="00000000" w:rsidP="00000000" w:rsidRDefault="00000000" w:rsidRPr="00000000" w14:paraId="00000029">
      <w:pPr>
        <w:spacing w:after="0"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spacing w:after="0" w:line="276"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referral must be made within 3 months of the decision of St Cyrus Solos to either dismiss/permanently remove the individual from regulated work, or within 3 months of the date that the individual would have been permanently removed had they not left.    </w:t>
      </w:r>
    </w:p>
    <w:p w:rsidR="00000000" w:rsidDel="00000000" w:rsidP="00000000" w:rsidRDefault="00000000" w:rsidRPr="00000000" w14:paraId="0000002B">
      <w:pPr>
        <w:spacing w:after="0" w:line="276" w:lineRule="auto"/>
        <w:ind w:left="42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spacing w:after="0" w:line="276"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3 month period to submit referrals to Disclosure Scotland is a legal requirement, regardless of any dismissal appeals or appeal periods etc. Even where an individual appeals against a decision to permanently remove from regulated work, the 3 month period begins on the date of the decision to either dismiss or permanently remove them from a regulated role.   </w:t>
      </w:r>
    </w:p>
    <w:p w:rsidR="00000000" w:rsidDel="00000000" w:rsidP="00000000" w:rsidRDefault="00000000" w:rsidRPr="00000000" w14:paraId="0000002D">
      <w:pPr>
        <w:spacing w:after="0" w:line="276" w:lineRule="auto"/>
        <w:ind w:left="42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spacing w:after="200" w:line="276"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type of conduct committed by the individual must be in relation to the group that the individual is in regulated role with, whether that regulated role is for St Cyrus Solos</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or another organisation. For example, if an individual is permanently removed from a position due to assaulting a child, but they are only in a regulated role with protected adults, it is not possible under current legislation for the organisation to refer that individual to Disclosure Scotland. </w:t>
      </w:r>
    </w:p>
    <w:p w:rsidR="00000000" w:rsidDel="00000000" w:rsidP="00000000" w:rsidRDefault="00000000" w:rsidRPr="00000000" w14:paraId="0000002F">
      <w:pPr>
        <w:spacing w:after="200" w:line="276"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spacing w:after="200" w:line="276" w:lineRule="auto"/>
        <w:ind w:left="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1">
      <w:pPr>
        <w:spacing w:after="200" w:line="276" w:lineRule="auto"/>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 How to refer an individual to Disclosure Scotland</w:t>
      </w:r>
    </w:p>
    <w:p w:rsidR="00000000" w:rsidDel="00000000" w:rsidP="00000000" w:rsidRDefault="00000000" w:rsidRPr="00000000" w14:paraId="00000032">
      <w:pPr>
        <w:spacing w:after="120" w:line="276"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w:t>
      </w:r>
      <w:hyperlink r:id="rId7">
        <w:r w:rsidDel="00000000" w:rsidR="00000000" w:rsidRPr="00000000">
          <w:rPr>
            <w:rFonts w:ascii="Arial" w:cs="Arial" w:eastAsia="Arial" w:hAnsi="Arial"/>
            <w:color w:val="0000ff"/>
            <w:sz w:val="24"/>
            <w:szCs w:val="24"/>
            <w:u w:val="single"/>
            <w:rtl w:val="0"/>
          </w:rPr>
          <w:t xml:space="preserve">employer referral form</w:t>
        </w:r>
      </w:hyperlink>
      <w:r w:rsidDel="00000000" w:rsidR="00000000" w:rsidRPr="00000000">
        <w:rPr>
          <w:rFonts w:ascii="Arial" w:cs="Arial" w:eastAsia="Arial" w:hAnsi="Arial"/>
          <w:sz w:val="24"/>
          <w:szCs w:val="24"/>
          <w:rtl w:val="0"/>
        </w:rPr>
        <w:t xml:space="preserve"> is available on the Disclosure Scotland website. This asks for:</w:t>
      </w:r>
    </w:p>
    <w:p w:rsidR="00000000" w:rsidDel="00000000" w:rsidP="00000000" w:rsidRDefault="00000000" w:rsidRPr="00000000" w14:paraId="00000033">
      <w:pPr>
        <w:numPr>
          <w:ilvl w:val="0"/>
          <w:numId w:val="3"/>
        </w:numPr>
        <w:spacing w:after="0" w:line="276" w:lineRule="auto"/>
        <w:ind w:left="1146"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proof of the person's identity </w:t>
      </w:r>
    </w:p>
    <w:p w:rsidR="00000000" w:rsidDel="00000000" w:rsidP="00000000" w:rsidRDefault="00000000" w:rsidRPr="00000000" w14:paraId="00000034">
      <w:pPr>
        <w:numPr>
          <w:ilvl w:val="0"/>
          <w:numId w:val="3"/>
        </w:numPr>
        <w:spacing w:after="0" w:line="276" w:lineRule="auto"/>
        <w:ind w:left="1146"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details of the type of regulated role they're employed to do</w:t>
      </w:r>
    </w:p>
    <w:p w:rsidR="00000000" w:rsidDel="00000000" w:rsidP="00000000" w:rsidRDefault="00000000" w:rsidRPr="00000000" w14:paraId="00000035">
      <w:pPr>
        <w:numPr>
          <w:ilvl w:val="0"/>
          <w:numId w:val="3"/>
        </w:numPr>
        <w:spacing w:after="0" w:line="276" w:lineRule="auto"/>
        <w:ind w:left="1146"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person's PVG scheme number, if they have one</w:t>
      </w:r>
    </w:p>
    <w:p w:rsidR="00000000" w:rsidDel="00000000" w:rsidP="00000000" w:rsidRDefault="00000000" w:rsidRPr="00000000" w14:paraId="00000036">
      <w:pPr>
        <w:numPr>
          <w:ilvl w:val="0"/>
          <w:numId w:val="3"/>
        </w:numPr>
        <w:spacing w:after="0" w:line="276" w:lineRule="auto"/>
        <w:ind w:left="1146"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on the harmful behaviour</w:t>
      </w:r>
    </w:p>
    <w:p w:rsidR="00000000" w:rsidDel="00000000" w:rsidP="00000000" w:rsidRDefault="00000000" w:rsidRPr="00000000" w14:paraId="00000037">
      <w:pPr>
        <w:numPr>
          <w:ilvl w:val="0"/>
          <w:numId w:val="3"/>
        </w:numPr>
        <w:spacing w:after="0" w:line="276" w:lineRule="auto"/>
        <w:ind w:left="1146"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details and documentation of the employer's investigation and outcome</w:t>
      </w:r>
    </w:p>
    <w:p w:rsidR="00000000" w:rsidDel="00000000" w:rsidP="00000000" w:rsidRDefault="00000000" w:rsidRPr="00000000" w14:paraId="00000038">
      <w:pPr>
        <w:spacing w:after="0" w:line="276" w:lineRule="auto"/>
        <w:ind w:left="42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0" w:line="276"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referral should not identify any children or protected adults by name (for example, victims and witnesses). You should use a coded reference (e.g. child A, age 12).   </w:t>
      </w:r>
    </w:p>
    <w:p w:rsidR="00000000" w:rsidDel="00000000" w:rsidP="00000000" w:rsidRDefault="00000000" w:rsidRPr="00000000" w14:paraId="0000003A">
      <w:pPr>
        <w:spacing w:after="0" w:line="276" w:lineRule="auto"/>
        <w:ind w:left="42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after="120" w:line="276" w:lineRule="auto"/>
        <w:ind w:left="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When the details have been filled in, email the form and any supporting documents to pvgreferrals@assured.systems.gov.scot, or print it out and post it to the address provided on the form.</w:t>
      </w:r>
      <w:r w:rsidDel="00000000" w:rsidR="00000000" w:rsidRPr="00000000">
        <w:rPr>
          <w:rtl w:val="0"/>
        </w:rPr>
      </w:r>
    </w:p>
    <w:p w:rsidR="00000000" w:rsidDel="00000000" w:rsidP="00000000" w:rsidRDefault="00000000" w:rsidRPr="00000000" w14:paraId="0000003C">
      <w:pPr>
        <w:spacing w:after="200" w:line="276" w:lineRule="auto"/>
        <w:ind w:left="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D">
      <w:pPr>
        <w:shd w:fill="ffffff" w:val="clear"/>
        <w:spacing w:after="0" w:lineRule="auto"/>
        <w:rPr>
          <w:rFonts w:ascii="Arial" w:cs="Arial" w:eastAsia="Arial" w:hAnsi="Arial"/>
          <w:color w:val="1d2228"/>
          <w:sz w:val="24"/>
          <w:szCs w:val="24"/>
        </w:rPr>
      </w:pPr>
      <w:r w:rsidDel="00000000" w:rsidR="00000000" w:rsidRPr="00000000">
        <w:rPr>
          <w:rtl w:val="0"/>
        </w:rPr>
      </w:r>
    </w:p>
    <w:p w:rsidR="00000000" w:rsidDel="00000000" w:rsidP="00000000" w:rsidRDefault="00000000" w:rsidRPr="00000000" w14:paraId="0000003E">
      <w:pPr>
        <w:shd w:fill="ffffff" w:val="clear"/>
        <w:spacing w:after="0" w:lineRule="auto"/>
        <w:rPr>
          <w:rFonts w:ascii="Arial" w:cs="Arial" w:eastAsia="Arial" w:hAnsi="Arial"/>
          <w:b w:val="1"/>
          <w:color w:val="1d2228"/>
          <w:sz w:val="24"/>
          <w:szCs w:val="24"/>
        </w:rPr>
      </w:pPr>
      <w:r w:rsidDel="00000000" w:rsidR="00000000" w:rsidRPr="00000000">
        <w:rPr>
          <w:rFonts w:ascii="Arial" w:cs="Arial" w:eastAsia="Arial" w:hAnsi="Arial"/>
          <w:b w:val="1"/>
          <w:color w:val="1d2228"/>
          <w:sz w:val="24"/>
          <w:szCs w:val="24"/>
          <w:rtl w:val="0"/>
        </w:rPr>
        <w:t xml:space="preserve">7. Training and Awareness</w:t>
      </w:r>
    </w:p>
    <w:p w:rsidR="00000000" w:rsidDel="00000000" w:rsidP="00000000" w:rsidRDefault="00000000" w:rsidRPr="00000000" w14:paraId="0000003F">
      <w:pPr>
        <w:shd w:fill="ffffff" w:val="clear"/>
        <w:spacing w:after="0" w:lineRule="auto"/>
        <w:rPr>
          <w:rFonts w:ascii="Arial" w:cs="Arial" w:eastAsia="Arial" w:hAnsi="Arial"/>
          <w:b w:val="1"/>
          <w:color w:val="1d2228"/>
          <w:sz w:val="24"/>
          <w:szCs w:val="24"/>
        </w:rPr>
      </w:pPr>
      <w:r w:rsidDel="00000000" w:rsidR="00000000" w:rsidRPr="00000000">
        <w:rPr>
          <w:rtl w:val="0"/>
        </w:rPr>
      </w:r>
    </w:p>
    <w:p w:rsidR="00000000" w:rsidDel="00000000" w:rsidP="00000000" w:rsidRDefault="00000000" w:rsidRPr="00000000" w14:paraId="00000040">
      <w:pPr>
        <w:numPr>
          <w:ilvl w:val="0"/>
          <w:numId w:val="4"/>
        </w:numPr>
        <w:shd w:fill="ffffff" w:val="clear"/>
        <w:spacing w:after="0" w:lineRule="auto"/>
        <w:ind w:left="720" w:hanging="360"/>
        <w:rPr>
          <w:sz w:val="24"/>
          <w:szCs w:val="24"/>
        </w:rPr>
      </w:pPr>
      <w:r w:rsidDel="00000000" w:rsidR="00000000" w:rsidRPr="00000000">
        <w:rPr>
          <w:rFonts w:ascii="Arial" w:cs="Arial" w:eastAsia="Arial" w:hAnsi="Arial"/>
          <w:color w:val="1d2228"/>
          <w:sz w:val="24"/>
          <w:szCs w:val="24"/>
          <w:rtl w:val="0"/>
        </w:rPr>
        <w:t xml:space="preserve">The safeguarding officer will ensure committee members and relevant volunteers are aware of:</w:t>
      </w:r>
      <w:r w:rsidDel="00000000" w:rsidR="00000000" w:rsidRPr="00000000">
        <w:rPr>
          <w:rtl w:val="0"/>
        </w:rPr>
      </w:r>
    </w:p>
    <w:p w:rsidR="00000000" w:rsidDel="00000000" w:rsidP="00000000" w:rsidRDefault="00000000" w:rsidRPr="00000000" w14:paraId="00000041">
      <w:pPr>
        <w:numPr>
          <w:ilvl w:val="1"/>
          <w:numId w:val="4"/>
        </w:numPr>
        <w:spacing w:after="0" w:lineRule="auto"/>
        <w:ind w:left="1440" w:hanging="360"/>
        <w:rPr>
          <w:sz w:val="24"/>
          <w:szCs w:val="24"/>
        </w:rPr>
      </w:pPr>
      <w:r w:rsidDel="00000000" w:rsidR="00000000" w:rsidRPr="00000000">
        <w:rPr>
          <w:rFonts w:ascii="Arial" w:cs="Arial" w:eastAsia="Arial" w:hAnsi="Arial"/>
          <w:color w:val="1d2228"/>
          <w:sz w:val="24"/>
          <w:szCs w:val="24"/>
          <w:rtl w:val="0"/>
        </w:rPr>
        <w:t xml:space="preserve">Their responsibilities under this policy.</w:t>
      </w:r>
      <w:r w:rsidDel="00000000" w:rsidR="00000000" w:rsidRPr="00000000">
        <w:rPr>
          <w:rtl w:val="0"/>
        </w:rPr>
      </w:r>
    </w:p>
    <w:p w:rsidR="00000000" w:rsidDel="00000000" w:rsidP="00000000" w:rsidRDefault="00000000" w:rsidRPr="00000000" w14:paraId="00000042">
      <w:pPr>
        <w:numPr>
          <w:ilvl w:val="1"/>
          <w:numId w:val="4"/>
        </w:numPr>
        <w:spacing w:after="0" w:lineRule="auto"/>
        <w:ind w:left="1440" w:hanging="360"/>
        <w:rPr>
          <w:sz w:val="24"/>
          <w:szCs w:val="24"/>
        </w:rPr>
      </w:pPr>
      <w:r w:rsidDel="00000000" w:rsidR="00000000" w:rsidRPr="00000000">
        <w:rPr>
          <w:rFonts w:ascii="Arial" w:cs="Arial" w:eastAsia="Arial" w:hAnsi="Arial"/>
          <w:color w:val="1d2228"/>
          <w:sz w:val="24"/>
          <w:szCs w:val="24"/>
          <w:rtl w:val="0"/>
        </w:rPr>
        <w:t xml:space="preserve">The importance of secure handling of sensitive information.</w:t>
      </w:r>
      <w:r w:rsidDel="00000000" w:rsidR="00000000" w:rsidRPr="00000000">
        <w:rPr>
          <w:rtl w:val="0"/>
        </w:rPr>
      </w:r>
    </w:p>
    <w:p w:rsidR="00000000" w:rsidDel="00000000" w:rsidP="00000000" w:rsidRDefault="00000000" w:rsidRPr="00000000" w14:paraId="00000043">
      <w:pPr>
        <w:numPr>
          <w:ilvl w:val="1"/>
          <w:numId w:val="4"/>
        </w:numPr>
        <w:spacing w:after="0" w:lineRule="auto"/>
        <w:ind w:left="1440" w:hanging="360"/>
        <w:rPr>
          <w:sz w:val="24"/>
          <w:szCs w:val="24"/>
        </w:rPr>
      </w:pPr>
      <w:r w:rsidDel="00000000" w:rsidR="00000000" w:rsidRPr="00000000">
        <w:rPr>
          <w:rFonts w:ascii="Arial" w:cs="Arial" w:eastAsia="Arial" w:hAnsi="Arial"/>
          <w:color w:val="1d2228"/>
          <w:sz w:val="24"/>
          <w:szCs w:val="24"/>
          <w:rtl w:val="0"/>
        </w:rPr>
        <w:t xml:space="preserve">Procedures for reporting safeguarding concerns.</w:t>
      </w:r>
      <w:r w:rsidDel="00000000" w:rsidR="00000000" w:rsidRPr="00000000">
        <w:rPr>
          <w:rtl w:val="0"/>
        </w:rPr>
      </w:r>
    </w:p>
    <w:p w:rsidR="00000000" w:rsidDel="00000000" w:rsidP="00000000" w:rsidRDefault="00000000" w:rsidRPr="00000000" w14:paraId="00000044">
      <w:pPr>
        <w:shd w:fill="ffffff" w:val="clear"/>
        <w:spacing w:after="0" w:lineRule="auto"/>
        <w:jc w:val="center"/>
        <w:rPr>
          <w:rFonts w:ascii="Arial" w:cs="Arial" w:eastAsia="Arial" w:hAnsi="Arial"/>
          <w:color w:val="1d2228"/>
          <w:sz w:val="24"/>
          <w:szCs w:val="24"/>
        </w:rPr>
      </w:pPr>
      <w:r w:rsidDel="00000000" w:rsidR="00000000" w:rsidRPr="00000000">
        <w:rPr>
          <w:rtl w:val="0"/>
        </w:rPr>
      </w:r>
    </w:p>
    <w:p w:rsidR="00000000" w:rsidDel="00000000" w:rsidP="00000000" w:rsidRDefault="00000000" w:rsidRPr="00000000" w14:paraId="00000045">
      <w:pPr>
        <w:shd w:fill="ffffff" w:val="clear"/>
        <w:spacing w:after="0" w:lineRule="auto"/>
        <w:rPr>
          <w:rFonts w:ascii="Arial" w:cs="Arial" w:eastAsia="Arial" w:hAnsi="Arial"/>
          <w:b w:val="1"/>
          <w:color w:val="1d2228"/>
          <w:sz w:val="24"/>
          <w:szCs w:val="24"/>
        </w:rPr>
      </w:pPr>
      <w:r w:rsidDel="00000000" w:rsidR="00000000" w:rsidRPr="00000000">
        <w:rPr>
          <w:rFonts w:ascii="Arial" w:cs="Arial" w:eastAsia="Arial" w:hAnsi="Arial"/>
          <w:b w:val="1"/>
          <w:color w:val="1d2228"/>
          <w:sz w:val="24"/>
          <w:szCs w:val="24"/>
          <w:rtl w:val="0"/>
        </w:rPr>
        <w:t xml:space="preserve">8. Policy Review</w:t>
      </w:r>
    </w:p>
    <w:p w:rsidR="00000000" w:rsidDel="00000000" w:rsidP="00000000" w:rsidRDefault="00000000" w:rsidRPr="00000000" w14:paraId="00000046">
      <w:pPr>
        <w:shd w:fill="ffffff" w:val="clear"/>
        <w:spacing w:after="0" w:lineRule="auto"/>
        <w:rPr>
          <w:rFonts w:ascii="Arial" w:cs="Arial" w:eastAsia="Arial" w:hAnsi="Arial"/>
          <w:b w:val="1"/>
          <w:color w:val="1d2228"/>
          <w:sz w:val="24"/>
          <w:szCs w:val="24"/>
        </w:rPr>
      </w:pPr>
      <w:r w:rsidDel="00000000" w:rsidR="00000000" w:rsidRPr="00000000">
        <w:rPr>
          <w:rtl w:val="0"/>
        </w:rPr>
      </w:r>
    </w:p>
    <w:p w:rsidR="00000000" w:rsidDel="00000000" w:rsidP="00000000" w:rsidRDefault="00000000" w:rsidRPr="00000000" w14:paraId="00000047">
      <w:pPr>
        <w:shd w:fill="ffffff" w:val="clear"/>
        <w:spacing w:after="0" w:lineRule="auto"/>
        <w:rPr>
          <w:rFonts w:ascii="Arial" w:cs="Arial" w:eastAsia="Arial" w:hAnsi="Arial"/>
          <w:color w:val="1d2228"/>
          <w:sz w:val="24"/>
          <w:szCs w:val="24"/>
        </w:rPr>
      </w:pPr>
      <w:r w:rsidDel="00000000" w:rsidR="00000000" w:rsidRPr="00000000">
        <w:rPr>
          <w:rFonts w:ascii="Arial" w:cs="Arial" w:eastAsia="Arial" w:hAnsi="Arial"/>
          <w:color w:val="1d2228"/>
          <w:sz w:val="24"/>
          <w:szCs w:val="24"/>
          <w:rtl w:val="0"/>
        </w:rPr>
        <w:t xml:space="preserve">This policy will be reviewed annually or when there are changes to relevant legislation or Disclosure Scotland requirements.  The review will be carried out by the Chairperson and Safeguarding Officer.</w:t>
      </w:r>
    </w:p>
    <w:p w:rsidR="00000000" w:rsidDel="00000000" w:rsidP="00000000" w:rsidRDefault="00000000" w:rsidRPr="00000000" w14:paraId="00000048">
      <w:pPr>
        <w:shd w:fill="ffffff" w:val="clear"/>
        <w:spacing w:after="0" w:lineRule="auto"/>
        <w:rPr>
          <w:rFonts w:ascii="Arial" w:cs="Arial" w:eastAsia="Arial" w:hAnsi="Arial"/>
          <w:color w:val="1d2228"/>
          <w:sz w:val="24"/>
          <w:szCs w:val="24"/>
        </w:rPr>
      </w:pPr>
      <w:r w:rsidDel="00000000" w:rsidR="00000000" w:rsidRPr="00000000">
        <w:rPr>
          <w:rtl w:val="0"/>
        </w:rPr>
      </w:r>
    </w:p>
    <w:p w:rsidR="00000000" w:rsidDel="00000000" w:rsidP="00000000" w:rsidRDefault="00000000" w:rsidRPr="00000000" w14:paraId="00000049">
      <w:pPr>
        <w:shd w:fill="ffffff" w:val="clear"/>
        <w:spacing w:after="0" w:lineRule="auto"/>
        <w:rPr>
          <w:rFonts w:ascii="Arial" w:cs="Arial" w:eastAsia="Arial" w:hAnsi="Arial"/>
          <w:b w:val="1"/>
          <w:color w:val="1d2228"/>
          <w:sz w:val="24"/>
          <w:szCs w:val="24"/>
        </w:rPr>
      </w:pPr>
      <w:r w:rsidDel="00000000" w:rsidR="00000000" w:rsidRPr="00000000">
        <w:rPr>
          <w:rFonts w:ascii="Arial" w:cs="Arial" w:eastAsia="Arial" w:hAnsi="Arial"/>
          <w:b w:val="1"/>
          <w:color w:val="1d2228"/>
          <w:sz w:val="24"/>
          <w:szCs w:val="24"/>
          <w:rtl w:val="0"/>
        </w:rPr>
        <w:t xml:space="preserve">9. Approval</w:t>
      </w:r>
    </w:p>
    <w:p w:rsidR="00000000" w:rsidDel="00000000" w:rsidP="00000000" w:rsidRDefault="00000000" w:rsidRPr="00000000" w14:paraId="0000004A">
      <w:pPr>
        <w:shd w:fill="ffffff" w:val="clear"/>
        <w:spacing w:after="0" w:lineRule="auto"/>
        <w:rPr>
          <w:rFonts w:ascii="Arial" w:cs="Arial" w:eastAsia="Arial" w:hAnsi="Arial"/>
          <w:b w:val="1"/>
          <w:color w:val="1d2228"/>
          <w:sz w:val="24"/>
          <w:szCs w:val="24"/>
        </w:rPr>
      </w:pPr>
      <w:r w:rsidDel="00000000" w:rsidR="00000000" w:rsidRPr="00000000">
        <w:rPr>
          <w:rtl w:val="0"/>
        </w:rPr>
      </w:r>
    </w:p>
    <w:p w:rsidR="00000000" w:rsidDel="00000000" w:rsidP="00000000" w:rsidRDefault="00000000" w:rsidRPr="00000000" w14:paraId="0000004B">
      <w:pPr>
        <w:shd w:fill="ffffff" w:val="clear"/>
        <w:spacing w:after="0" w:lineRule="auto"/>
        <w:rPr>
          <w:rFonts w:ascii="Arial" w:cs="Arial" w:eastAsia="Arial" w:hAnsi="Arial"/>
          <w:color w:val="1d2228"/>
          <w:sz w:val="24"/>
          <w:szCs w:val="24"/>
        </w:rPr>
      </w:pPr>
      <w:r w:rsidDel="00000000" w:rsidR="00000000" w:rsidRPr="00000000">
        <w:rPr>
          <w:rFonts w:ascii="Arial" w:cs="Arial" w:eastAsia="Arial" w:hAnsi="Arial"/>
          <w:color w:val="1d2228"/>
          <w:sz w:val="24"/>
          <w:szCs w:val="24"/>
          <w:rtl w:val="0"/>
        </w:rPr>
        <w:t xml:space="preserve">This policy was approved by the St Cyrus Solos Running Club Committee on:</w:t>
        <w:br w:type="textWrapping"/>
      </w:r>
      <w:r w:rsidDel="00000000" w:rsidR="00000000" w:rsidRPr="00000000">
        <w:rPr>
          <w:rFonts w:ascii="Arial" w:cs="Arial" w:eastAsia="Arial" w:hAnsi="Arial"/>
          <w:b w:val="1"/>
          <w:color w:val="1d2228"/>
          <w:sz w:val="24"/>
          <w:szCs w:val="24"/>
          <w:rtl w:val="0"/>
        </w:rPr>
        <w:t xml:space="preserve">Date: </w:t>
      </w:r>
      <w:r w:rsidDel="00000000" w:rsidR="00000000" w:rsidRPr="00000000">
        <w:rPr>
          <w:rFonts w:ascii="Arial" w:cs="Arial" w:eastAsia="Arial" w:hAnsi="Arial"/>
          <w:color w:val="1d2228"/>
          <w:sz w:val="24"/>
          <w:szCs w:val="24"/>
          <w:rtl w:val="0"/>
        </w:rPr>
        <w:t xml:space="preserve">12th September 2025</w:t>
      </w:r>
    </w:p>
    <w:p w:rsidR="00000000" w:rsidDel="00000000" w:rsidP="00000000" w:rsidRDefault="00000000" w:rsidRPr="00000000" w14:paraId="0000004C">
      <w:pPr>
        <w:shd w:fill="ffffff" w:val="clear"/>
        <w:spacing w:after="0" w:lineRule="auto"/>
        <w:rPr>
          <w:rFonts w:ascii="Arial" w:cs="Arial" w:eastAsia="Arial" w:hAnsi="Arial"/>
          <w:color w:val="1d2228"/>
          <w:sz w:val="24"/>
          <w:szCs w:val="24"/>
        </w:rPr>
      </w:pPr>
      <w:r w:rsidDel="00000000" w:rsidR="00000000" w:rsidRPr="00000000">
        <w:rPr>
          <w:rFonts w:ascii="Arial" w:cs="Arial" w:eastAsia="Arial" w:hAnsi="Arial"/>
          <w:b w:val="1"/>
          <w:color w:val="1d2228"/>
          <w:sz w:val="24"/>
          <w:szCs w:val="24"/>
          <w:rtl w:val="0"/>
        </w:rPr>
        <w:t xml:space="preserve">Signed (Chairperson):</w:t>
      </w:r>
      <w:r w:rsidDel="00000000" w:rsidR="00000000" w:rsidRPr="00000000">
        <w:rPr>
          <w:rFonts w:ascii="Arial" w:cs="Arial" w:eastAsia="Arial" w:hAnsi="Arial"/>
          <w:color w:val="1d2228"/>
          <w:sz w:val="24"/>
          <w:szCs w:val="24"/>
        </w:rPr>
        <w:drawing>
          <wp:inline distB="114300" distT="114300" distL="114300" distR="114300">
            <wp:extent cx="773602" cy="366443"/>
            <wp:effectExtent b="0" l="0" r="0" t="0"/>
            <wp:docPr id="771736139"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773602" cy="366443"/>
                    </a:xfrm>
                    <a:prstGeom prst="rect"/>
                    <a:ln/>
                  </pic:spPr>
                </pic:pic>
              </a:graphicData>
            </a:graphic>
          </wp:inline>
        </w:drawing>
      </w:r>
      <w:r w:rsidDel="00000000" w:rsidR="00000000" w:rsidRPr="00000000">
        <w:rPr>
          <w:rFonts w:ascii="Arial" w:cs="Arial" w:eastAsia="Arial" w:hAnsi="Arial"/>
          <w:color w:val="1d2228"/>
          <w:sz w:val="24"/>
          <w:szCs w:val="24"/>
          <w:rtl w:val="0"/>
        </w:rPr>
        <w:br w:type="textWrapping"/>
      </w:r>
      <w:r w:rsidDel="00000000" w:rsidR="00000000" w:rsidRPr="00000000">
        <w:rPr>
          <w:rFonts w:ascii="Arial" w:cs="Arial" w:eastAsia="Arial" w:hAnsi="Arial"/>
          <w:b w:val="1"/>
          <w:color w:val="1d2228"/>
          <w:sz w:val="24"/>
          <w:szCs w:val="24"/>
          <w:rtl w:val="0"/>
        </w:rPr>
        <w:t xml:space="preserve">Signed (Safeguarding Officer):</w:t>
      </w:r>
      <w:r w:rsidDel="00000000" w:rsidR="00000000" w:rsidRPr="00000000">
        <w:rPr>
          <w:rFonts w:ascii="Arial" w:cs="Arial" w:eastAsia="Arial" w:hAnsi="Arial"/>
          <w:color w:val="1d2228"/>
          <w:sz w:val="24"/>
          <w:szCs w:val="24"/>
          <w:rtl w:val="0"/>
        </w:rPr>
        <w:t xml:space="preserve"> </w:t>
      </w:r>
      <w:r w:rsidDel="00000000" w:rsidR="00000000" w:rsidRPr="00000000">
        <w:rPr>
          <w:rFonts w:ascii="Arial" w:cs="Arial" w:eastAsia="Arial" w:hAnsi="Arial"/>
          <w:color w:val="1d2228"/>
          <w:sz w:val="24"/>
          <w:szCs w:val="24"/>
        </w:rPr>
        <w:drawing>
          <wp:inline distB="114300" distT="114300" distL="114300" distR="114300">
            <wp:extent cx="773602" cy="366443"/>
            <wp:effectExtent b="0" l="0" r="0" t="0"/>
            <wp:docPr id="77173614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773602" cy="366443"/>
                    </a:xfrm>
                    <a:prstGeom prst="rect"/>
                    <a:ln/>
                  </pic:spPr>
                </pic:pic>
              </a:graphicData>
            </a:graphic>
          </wp:inline>
        </w:drawing>
      </w:r>
      <w:r w:rsidDel="00000000" w:rsidR="00000000" w:rsidRPr="00000000">
        <w:rPr>
          <w:rFonts w:ascii="Arial" w:cs="Arial" w:eastAsia="Arial" w:hAnsi="Arial"/>
          <w:color w:val="1d2228"/>
          <w:sz w:val="24"/>
          <w:szCs w:val="24"/>
          <w:rtl w:val="0"/>
        </w:rPr>
        <w:t xml:space="preserve"> </w:t>
      </w:r>
    </w:p>
    <w:p w:rsidR="00000000" w:rsidDel="00000000" w:rsidP="00000000" w:rsidRDefault="00000000" w:rsidRPr="00000000" w14:paraId="0000004D">
      <w:pPr>
        <w:rPr/>
      </w:pPr>
      <w:r w:rsidDel="00000000" w:rsidR="00000000" w:rsidRPr="00000000">
        <w:rPr>
          <w:rtl w:val="0"/>
        </w:rPr>
      </w:r>
    </w:p>
    <w:sectPr>
      <w:headerReference r:id="rId9" w:type="default"/>
      <w:pgSz w:h="16838" w:w="11906" w:orient="portrait"/>
      <w:pgMar w:bottom="1440.0000000000002" w:top="1440.0000000000002" w:left="1247.2440944881891" w:right="1247.24409448818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Pr>
      <w:drawing>
        <wp:inline distB="0" distT="0" distL="0" distR="0">
          <wp:extent cx="706275" cy="369728"/>
          <wp:effectExtent b="0" l="0" r="0" t="0"/>
          <wp:docPr descr="A black and white logo&#10;&#10;Description automatically generated" id="771736140" name="image1.jpg"/>
          <a:graphic>
            <a:graphicData uri="http://schemas.openxmlformats.org/drawingml/2006/picture">
              <pic:pic>
                <pic:nvPicPr>
                  <pic:cNvPr descr="A black and white logo&#10;&#10;Description automatically generated" id="0" name="image1.jpg"/>
                  <pic:cNvPicPr preferRelativeResize="0"/>
                </pic:nvPicPr>
                <pic:blipFill>
                  <a:blip r:embed="rId1"/>
                  <a:srcRect b="0" l="0" r="0" t="0"/>
                  <a:stretch>
                    <a:fillRect/>
                  </a:stretch>
                </pic:blipFill>
                <pic:spPr>
                  <a:xfrm>
                    <a:off x="0" y="0"/>
                    <a:ext cx="706275" cy="369728"/>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3">
    <w:lvl w:ilvl="0">
      <w:start w:val="1"/>
      <w:numFmt w:val="bullet"/>
      <w:lvlText w:val="●"/>
      <w:lvlJc w:val="left"/>
      <w:pPr>
        <w:ind w:left="1146" w:hanging="360"/>
      </w:pPr>
      <w:rPr>
        <w:u w:val="none"/>
      </w:rPr>
    </w:lvl>
    <w:lvl w:ilvl="1">
      <w:start w:val="1"/>
      <w:numFmt w:val="bullet"/>
      <w:lvlText w:val="o"/>
      <w:lvlJc w:val="left"/>
      <w:pPr>
        <w:ind w:left="1866" w:hanging="360"/>
      </w:pPr>
      <w:rPr>
        <w:u w:val="none"/>
      </w:rPr>
    </w:lvl>
    <w:lvl w:ilvl="2">
      <w:start w:val="1"/>
      <w:numFmt w:val="bullet"/>
      <w:lvlText w:val="▪"/>
      <w:lvlJc w:val="left"/>
      <w:pPr>
        <w:ind w:left="2586" w:hanging="360"/>
      </w:pPr>
      <w:rPr>
        <w:u w:val="none"/>
      </w:rPr>
    </w:lvl>
    <w:lvl w:ilvl="3">
      <w:start w:val="1"/>
      <w:numFmt w:val="bullet"/>
      <w:lvlText w:val="●"/>
      <w:lvlJc w:val="left"/>
      <w:pPr>
        <w:ind w:left="3306" w:hanging="360"/>
      </w:pPr>
      <w:rPr>
        <w:u w:val="none"/>
      </w:rPr>
    </w:lvl>
    <w:lvl w:ilvl="4">
      <w:start w:val="1"/>
      <w:numFmt w:val="bullet"/>
      <w:lvlText w:val="o"/>
      <w:lvlJc w:val="left"/>
      <w:pPr>
        <w:ind w:left="4026" w:hanging="360"/>
      </w:pPr>
      <w:rPr>
        <w:u w:val="none"/>
      </w:rPr>
    </w:lvl>
    <w:lvl w:ilvl="5">
      <w:start w:val="1"/>
      <w:numFmt w:val="bullet"/>
      <w:lvlText w:val="▪"/>
      <w:lvlJc w:val="left"/>
      <w:pPr>
        <w:ind w:left="4746" w:hanging="360"/>
      </w:pPr>
      <w:rPr>
        <w:u w:val="none"/>
      </w:rPr>
    </w:lvl>
    <w:lvl w:ilvl="6">
      <w:start w:val="1"/>
      <w:numFmt w:val="bullet"/>
      <w:lvlText w:val="●"/>
      <w:lvlJc w:val="left"/>
      <w:pPr>
        <w:ind w:left="5466" w:hanging="360"/>
      </w:pPr>
      <w:rPr>
        <w:u w:val="none"/>
      </w:rPr>
    </w:lvl>
    <w:lvl w:ilvl="7">
      <w:start w:val="1"/>
      <w:numFmt w:val="bullet"/>
      <w:lvlText w:val="o"/>
      <w:lvlJc w:val="left"/>
      <w:pPr>
        <w:ind w:left="6186" w:hanging="360"/>
      </w:pPr>
      <w:rPr>
        <w:u w:val="none"/>
      </w:rPr>
    </w:lvl>
    <w:lvl w:ilvl="8">
      <w:start w:val="1"/>
      <w:numFmt w:val="bullet"/>
      <w:lvlText w:val="▪"/>
      <w:lvlJc w:val="left"/>
      <w:pPr>
        <w:ind w:left="6906" w:hanging="360"/>
      </w:pPr>
      <w:rPr>
        <w:u w:val="none"/>
      </w:rPr>
    </w:lvl>
  </w:abstractNum>
  <w:abstractNum w:abstractNumId="4">
    <w:lvl w:ilvl="0">
      <w:start w:val="1"/>
      <w:numFmt w:val="bullet"/>
      <w:lvlText w:val="●"/>
      <w:lvlJc w:val="left"/>
      <w:pPr>
        <w:ind w:left="720" w:hanging="360"/>
      </w:pPr>
      <w:rPr>
        <w:rFonts w:ascii="Arial" w:cs="Arial" w:eastAsia="Arial" w:hAnsi="Arial"/>
        <w:color w:val="1d2228"/>
        <w:sz w:val="20"/>
        <w:szCs w:val="20"/>
        <w:u w:val="none"/>
      </w:rPr>
    </w:lvl>
    <w:lvl w:ilvl="1">
      <w:start w:val="1"/>
      <w:numFmt w:val="bullet"/>
      <w:lvlText w:val="○"/>
      <w:lvlJc w:val="left"/>
      <w:pPr>
        <w:ind w:left="1440" w:hanging="360"/>
      </w:pPr>
      <w:rPr>
        <w:rFonts w:ascii="Arial" w:cs="Arial" w:eastAsia="Arial" w:hAnsi="Arial"/>
        <w:color w:val="1d2228"/>
        <w:sz w:val="20"/>
        <w:szCs w:val="2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E0134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0134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0134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0134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0134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0134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0134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0134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0134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0134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0134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0134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0134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0134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0134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01341"/>
    <w:rPr>
      <w:i w:val="1"/>
      <w:iCs w:val="1"/>
      <w:color w:val="404040" w:themeColor="text1" w:themeTint="0000BF"/>
    </w:rPr>
  </w:style>
  <w:style w:type="paragraph" w:styleId="ListParagraph">
    <w:name w:val="List Paragraph"/>
    <w:basedOn w:val="Normal"/>
    <w:uiPriority w:val="34"/>
    <w:qFormat w:val="1"/>
    <w:rsid w:val="00E01341"/>
    <w:pPr>
      <w:ind w:left="720"/>
      <w:contextualSpacing w:val="1"/>
    </w:pPr>
  </w:style>
  <w:style w:type="character" w:styleId="IntenseEmphasis">
    <w:name w:val="Intense Emphasis"/>
    <w:basedOn w:val="DefaultParagraphFont"/>
    <w:uiPriority w:val="21"/>
    <w:qFormat w:val="1"/>
    <w:rsid w:val="00E01341"/>
    <w:rPr>
      <w:i w:val="1"/>
      <w:iCs w:val="1"/>
      <w:color w:val="0f4761" w:themeColor="accent1" w:themeShade="0000BF"/>
    </w:rPr>
  </w:style>
  <w:style w:type="paragraph" w:styleId="IntenseQuote">
    <w:name w:val="Intense Quote"/>
    <w:basedOn w:val="Normal"/>
    <w:next w:val="Normal"/>
    <w:link w:val="IntenseQuoteChar"/>
    <w:uiPriority w:val="30"/>
    <w:qFormat w:val="1"/>
    <w:rsid w:val="00E0134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01341"/>
    <w:rPr>
      <w:i w:val="1"/>
      <w:iCs w:val="1"/>
      <w:color w:val="0f4761" w:themeColor="accent1" w:themeShade="0000BF"/>
    </w:rPr>
  </w:style>
  <w:style w:type="character" w:styleId="IntenseReference">
    <w:name w:val="Intense Reference"/>
    <w:basedOn w:val="DefaultParagraphFont"/>
    <w:uiPriority w:val="32"/>
    <w:qFormat w:val="1"/>
    <w:rsid w:val="00E01341"/>
    <w:rPr>
      <w:b w:val="1"/>
      <w:bCs w:val="1"/>
      <w:smallCaps w:val="1"/>
      <w:color w:val="0f4761" w:themeColor="accent1" w:themeShade="0000BF"/>
      <w:spacing w:val="5"/>
    </w:rPr>
  </w:style>
  <w:style w:type="paragraph" w:styleId="Header">
    <w:name w:val="header"/>
    <w:basedOn w:val="Normal"/>
    <w:link w:val="HeaderChar"/>
    <w:uiPriority w:val="99"/>
    <w:unhideWhenUsed w:val="1"/>
    <w:rsid w:val="00E01341"/>
    <w:pPr>
      <w:tabs>
        <w:tab w:val="center" w:pos="4513"/>
        <w:tab w:val="right" w:pos="9026"/>
      </w:tabs>
      <w:spacing w:after="0" w:line="240" w:lineRule="auto"/>
    </w:pPr>
  </w:style>
  <w:style w:type="character" w:styleId="HeaderChar" w:customStyle="1">
    <w:name w:val="Header Char"/>
    <w:basedOn w:val="DefaultParagraphFont"/>
    <w:link w:val="Header"/>
    <w:uiPriority w:val="99"/>
    <w:rsid w:val="00E01341"/>
  </w:style>
  <w:style w:type="paragraph" w:styleId="Footer">
    <w:name w:val="footer"/>
    <w:basedOn w:val="Normal"/>
    <w:link w:val="FooterChar"/>
    <w:uiPriority w:val="99"/>
    <w:unhideWhenUsed w:val="1"/>
    <w:rsid w:val="00E01341"/>
    <w:pPr>
      <w:tabs>
        <w:tab w:val="center" w:pos="4513"/>
        <w:tab w:val="right" w:pos="9026"/>
      </w:tabs>
      <w:spacing w:after="0" w:line="240" w:lineRule="auto"/>
    </w:pPr>
  </w:style>
  <w:style w:type="character" w:styleId="FooterChar" w:customStyle="1">
    <w:name w:val="Footer Char"/>
    <w:basedOn w:val="DefaultParagraphFont"/>
    <w:link w:val="Footer"/>
    <w:uiPriority w:val="99"/>
    <w:rsid w:val="00E01341"/>
  </w:style>
  <w:style w:type="character" w:styleId="Hyperlink">
    <w:name w:val="Hyperlink"/>
    <w:basedOn w:val="DefaultParagraphFont"/>
    <w:uiPriority w:val="99"/>
    <w:unhideWhenUsed w:val="1"/>
    <w:rsid w:val="00E01341"/>
    <w:rPr>
      <w:color w:val="467886" w:themeColor="hyperlink"/>
      <w:u w:val="single"/>
    </w:rPr>
  </w:style>
  <w:style w:type="character" w:styleId="UnresolvedMention">
    <w:name w:val="Unresolved Mention"/>
    <w:basedOn w:val="DefaultParagraphFont"/>
    <w:uiPriority w:val="99"/>
    <w:semiHidden w:val="1"/>
    <w:unhideWhenUsed w:val="1"/>
    <w:rsid w:val="00E01341"/>
    <w:rPr>
      <w:color w:val="605e5c"/>
      <w:shd w:color="auto" w:fill="e1dfdd" w:val="clear"/>
    </w:rPr>
  </w:style>
  <w:style w:type="table" w:styleId="Table1">
    <w:basedOn w:val="TableNormal"/>
    <w:tblPr>
      <w:tblStyleRowBandSize w:val="1"/>
      <w:tblStyleColBandSize w:val="1"/>
      <w:tblCellMar/>
    </w:tblPr>
    <w:tcPr>
      <w:shd w:fill="ffffff" w:val="clear"/>
    </w:tc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ygov.scot/pvg-employer-referral"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AjknKrfMy7KscXYOA+/5NkYfkg==">CgMxLjA4AHIhMWpWV1M5TmgzSXo4NlU3TE8wXzFkbmNKN3pmYkt3Sm5D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2025-01-07T15:08:00Z</dcterms:created>
  <dc:creator>Vicki Findlater</dc:creator>
</cp:coreProperties>
</file>